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DF" w:rsidRPr="007A7E5C" w:rsidRDefault="0011534A" w:rsidP="0011534A">
      <w:pPr>
        <w:jc w:val="center"/>
        <w:rPr>
          <w:rFonts w:ascii="Arial" w:hAnsi="Arial" w:cs="Arial"/>
          <w:b/>
          <w:sz w:val="32"/>
          <w:szCs w:val="32"/>
        </w:rPr>
      </w:pPr>
      <w:r w:rsidRPr="007A7E5C">
        <w:rPr>
          <w:rFonts w:ascii="Arial" w:hAnsi="Arial" w:cs="Arial"/>
          <w:b/>
          <w:sz w:val="32"/>
          <w:szCs w:val="32"/>
        </w:rPr>
        <w:t xml:space="preserve">PROVINCIA AUTONOMA </w:t>
      </w:r>
      <w:proofErr w:type="spellStart"/>
      <w:r w:rsidRPr="007A7E5C">
        <w:rPr>
          <w:rFonts w:ascii="Arial" w:hAnsi="Arial" w:cs="Arial"/>
          <w:b/>
          <w:sz w:val="32"/>
          <w:szCs w:val="32"/>
        </w:rPr>
        <w:t>DI</w:t>
      </w:r>
      <w:proofErr w:type="spellEnd"/>
      <w:r w:rsidRPr="007A7E5C">
        <w:rPr>
          <w:rFonts w:ascii="Arial" w:hAnsi="Arial" w:cs="Arial"/>
          <w:b/>
          <w:sz w:val="32"/>
          <w:szCs w:val="32"/>
        </w:rPr>
        <w:t xml:space="preserve"> TRENTO – RILEVAZIONE TEMPI </w:t>
      </w:r>
      <w:proofErr w:type="spellStart"/>
      <w:r w:rsidRPr="007A7E5C">
        <w:rPr>
          <w:rFonts w:ascii="Arial" w:hAnsi="Arial" w:cs="Arial"/>
          <w:b/>
          <w:sz w:val="32"/>
          <w:szCs w:val="32"/>
        </w:rPr>
        <w:t>DI</w:t>
      </w:r>
      <w:proofErr w:type="spellEnd"/>
      <w:r w:rsidRPr="007A7E5C">
        <w:rPr>
          <w:rFonts w:ascii="Arial" w:hAnsi="Arial" w:cs="Arial"/>
          <w:b/>
          <w:sz w:val="32"/>
          <w:szCs w:val="32"/>
        </w:rPr>
        <w:t xml:space="preserve"> ATTESA PRESTAZIONI </w:t>
      </w:r>
      <w:proofErr w:type="spellStart"/>
      <w:r w:rsidRPr="007A7E5C">
        <w:rPr>
          <w:rFonts w:ascii="Arial" w:hAnsi="Arial" w:cs="Arial"/>
          <w:b/>
          <w:sz w:val="32"/>
          <w:szCs w:val="32"/>
        </w:rPr>
        <w:t>DI</w:t>
      </w:r>
      <w:proofErr w:type="spellEnd"/>
      <w:r w:rsidRPr="007A7E5C">
        <w:rPr>
          <w:rFonts w:ascii="Arial" w:hAnsi="Arial" w:cs="Arial"/>
          <w:b/>
          <w:sz w:val="32"/>
          <w:szCs w:val="32"/>
        </w:rPr>
        <w:t xml:space="preserve"> RICOVERO ANNO 202</w:t>
      </w:r>
      <w:r w:rsidR="0003616B">
        <w:rPr>
          <w:rFonts w:ascii="Arial" w:hAnsi="Arial" w:cs="Arial"/>
          <w:b/>
          <w:sz w:val="32"/>
          <w:szCs w:val="32"/>
        </w:rPr>
        <w:t>2</w:t>
      </w:r>
    </w:p>
    <w:p w:rsidR="0011534A" w:rsidRPr="007A7E5C" w:rsidRDefault="0011534A">
      <w:pPr>
        <w:rPr>
          <w:rFonts w:ascii="Arial" w:hAnsi="Arial" w:cs="Arial"/>
        </w:rPr>
      </w:pPr>
    </w:p>
    <w:p w:rsidR="0011534A" w:rsidRPr="007A7E5C" w:rsidRDefault="0011534A" w:rsidP="0011534A">
      <w:pPr>
        <w:jc w:val="both"/>
        <w:rPr>
          <w:rFonts w:ascii="Arial" w:hAnsi="Arial" w:cs="Arial"/>
        </w:rPr>
      </w:pPr>
      <w:r w:rsidRPr="007A7E5C">
        <w:rPr>
          <w:rFonts w:ascii="Arial" w:hAnsi="Arial" w:cs="Arial"/>
        </w:rPr>
        <w:t>Le prestazioni  monitore sono quelle previste dal Piano Nazionale per il contenimento dei tempi di attesa, documentate nella Scheda di dimissione ospedaliera come intervento primario. Sono presi in considerazione esclusivamente i ricoveri programmati. Per quanto rigua</w:t>
      </w:r>
      <w:r w:rsidR="00C47456">
        <w:rPr>
          <w:rFonts w:ascii="Arial" w:hAnsi="Arial" w:cs="Arial"/>
        </w:rPr>
        <w:t>r</w:t>
      </w:r>
      <w:r w:rsidRPr="007A7E5C">
        <w:rPr>
          <w:rFonts w:ascii="Arial" w:hAnsi="Arial" w:cs="Arial"/>
        </w:rPr>
        <w:t>da le classi di priorità  si fa riferimento all’Accordo in Conferenza stato-Regione dell’11 luglio 2002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384"/>
        <w:gridCol w:w="7098"/>
      </w:tblGrid>
      <w:tr w:rsidR="0011534A" w:rsidTr="00F9045A">
        <w:trPr>
          <w:trHeight w:val="827"/>
        </w:trPr>
        <w:tc>
          <w:tcPr>
            <w:tcW w:w="2384" w:type="dxa"/>
            <w:tcBorders>
              <w:bottom w:val="single" w:sz="4" w:space="0" w:color="000000"/>
            </w:tcBorders>
            <w:shd w:val="clear" w:color="auto" w:fill="C0C0C0"/>
          </w:tcPr>
          <w:p w:rsidR="0011534A" w:rsidRPr="0011534A" w:rsidRDefault="0011534A" w:rsidP="00F9045A">
            <w:pPr>
              <w:pStyle w:val="TableParagraph"/>
              <w:ind w:left="157" w:right="143" w:firstLine="388"/>
              <w:jc w:val="left"/>
              <w:rPr>
                <w:rFonts w:ascii="Arial" w:hAnsi="Arial"/>
                <w:b/>
                <w:sz w:val="24"/>
                <w:lang w:val="it-IT"/>
              </w:rPr>
            </w:pPr>
            <w:r w:rsidRPr="0011534A">
              <w:rPr>
                <w:rFonts w:ascii="Arial" w:hAnsi="Arial"/>
                <w:b/>
                <w:sz w:val="24"/>
                <w:lang w:val="it-IT"/>
              </w:rPr>
              <w:t xml:space="preserve">CLASSE </w:t>
            </w:r>
            <w:proofErr w:type="spellStart"/>
            <w:r w:rsidRPr="0011534A">
              <w:rPr>
                <w:rFonts w:ascii="Arial" w:hAnsi="Arial"/>
                <w:b/>
                <w:sz w:val="24"/>
                <w:lang w:val="it-IT"/>
              </w:rPr>
              <w:t>DI</w:t>
            </w:r>
            <w:proofErr w:type="spellEnd"/>
            <w:r w:rsidRPr="0011534A">
              <w:rPr>
                <w:rFonts w:ascii="Arial" w:hAnsi="Arial"/>
                <w:b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PRIORITA’</w:t>
            </w:r>
            <w:r w:rsidRPr="0011534A">
              <w:rPr>
                <w:rFonts w:ascii="Arial" w:hAnsi="Arial"/>
                <w:b/>
                <w:spacing w:val="-5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PER</w:t>
            </w:r>
            <w:r w:rsidRPr="0011534A">
              <w:rPr>
                <w:rFonts w:ascii="Arial" w:hAnsi="Arial"/>
                <w:b/>
                <w:spacing w:val="-5"/>
                <w:sz w:val="24"/>
                <w:lang w:val="it-IT"/>
              </w:rPr>
              <w:t xml:space="preserve"> </w:t>
            </w:r>
            <w:r w:rsidRPr="0011534A">
              <w:rPr>
                <w:rFonts w:ascii="Arial" w:hAnsi="Arial"/>
                <w:b/>
                <w:sz w:val="24"/>
                <w:lang w:val="it-IT"/>
              </w:rPr>
              <w:t>IL</w:t>
            </w:r>
          </w:p>
          <w:p w:rsidR="0011534A" w:rsidRPr="0011534A" w:rsidRDefault="0011534A" w:rsidP="00F9045A">
            <w:pPr>
              <w:pStyle w:val="TableParagraph"/>
              <w:spacing w:line="261" w:lineRule="exact"/>
              <w:ind w:left="546"/>
              <w:jc w:val="left"/>
              <w:rPr>
                <w:rFonts w:ascii="Arial"/>
                <w:b/>
                <w:sz w:val="24"/>
                <w:lang w:val="it-IT"/>
              </w:rPr>
            </w:pPr>
            <w:r w:rsidRPr="0011534A">
              <w:rPr>
                <w:rFonts w:ascii="Arial"/>
                <w:b/>
                <w:sz w:val="24"/>
                <w:lang w:val="it-IT"/>
              </w:rPr>
              <w:t>RICOVERO</w:t>
            </w:r>
          </w:p>
        </w:tc>
        <w:tc>
          <w:tcPr>
            <w:tcW w:w="7098" w:type="dxa"/>
            <w:tcBorders>
              <w:bottom w:val="single" w:sz="4" w:space="0" w:color="000000"/>
            </w:tcBorders>
            <w:shd w:val="clear" w:color="auto" w:fill="C0C0C0"/>
          </w:tcPr>
          <w:p w:rsidR="0011534A" w:rsidRPr="0011534A" w:rsidRDefault="0011534A" w:rsidP="00F9045A">
            <w:pPr>
              <w:pStyle w:val="TableParagraph"/>
              <w:spacing w:before="10"/>
              <w:jc w:val="left"/>
              <w:rPr>
                <w:rFonts w:ascii="Microsoft Sans Serif"/>
                <w:sz w:val="23"/>
                <w:lang w:val="it-IT"/>
              </w:rPr>
            </w:pPr>
          </w:p>
          <w:p w:rsidR="0011534A" w:rsidRDefault="0011534A" w:rsidP="00F9045A">
            <w:pPr>
              <w:pStyle w:val="TableParagraph"/>
              <w:spacing w:before="1"/>
              <w:ind w:left="2788" w:right="27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INDICAZIONI</w:t>
            </w:r>
          </w:p>
        </w:tc>
      </w:tr>
      <w:tr w:rsidR="0011534A" w:rsidTr="00F9045A">
        <w:trPr>
          <w:trHeight w:val="827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Default="0011534A" w:rsidP="00F9045A">
            <w:pPr>
              <w:pStyle w:val="TableParagraph"/>
              <w:spacing w:before="11"/>
              <w:jc w:val="left"/>
              <w:rPr>
                <w:rFonts w:ascii="Microsoft Sans Serif"/>
                <w:sz w:val="23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A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7A055E">
            <w:pPr>
              <w:pStyle w:val="TableParagraph"/>
              <w:spacing w:line="244" w:lineRule="auto"/>
              <w:ind w:left="59" w:right="633"/>
              <w:jc w:val="both"/>
              <w:rPr>
                <w:rFonts w:ascii="Microsoft Sans Serif"/>
                <w:sz w:val="24"/>
                <w:lang w:val="it-IT"/>
              </w:rPr>
            </w:pPr>
            <w:r w:rsidRPr="0011534A">
              <w:rPr>
                <w:rFonts w:ascii="Microsoft Sans Serif"/>
                <w:sz w:val="24"/>
                <w:lang w:val="it-IT"/>
              </w:rPr>
              <w:t>Ricovero entro 30 giorni per i casi clinici che potenzialmente</w:t>
            </w:r>
            <w:r w:rsidRPr="0011534A">
              <w:rPr>
                <w:rFonts w:asci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possono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aggravarsi rapidamente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al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punto</w:t>
            </w:r>
            <w:r w:rsidRPr="0011534A">
              <w:rPr>
                <w:rFonts w:asci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da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diventare</w:t>
            </w:r>
          </w:p>
          <w:p w:rsidR="0011534A" w:rsidRPr="0011534A" w:rsidRDefault="0011534A" w:rsidP="007A055E">
            <w:pPr>
              <w:pStyle w:val="TableParagraph"/>
              <w:spacing w:line="254" w:lineRule="exact"/>
              <w:ind w:left="59"/>
              <w:jc w:val="both"/>
              <w:rPr>
                <w:rFonts w:ascii="Microsoft Sans Serif"/>
                <w:sz w:val="24"/>
                <w:lang w:val="it-IT"/>
              </w:rPr>
            </w:pPr>
            <w:r w:rsidRPr="0011534A">
              <w:rPr>
                <w:rFonts w:ascii="Microsoft Sans Serif"/>
                <w:sz w:val="24"/>
                <w:lang w:val="it-IT"/>
              </w:rPr>
              <w:t>emergenti,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o comunque da</w:t>
            </w:r>
            <w:r w:rsidRPr="0011534A">
              <w:rPr>
                <w:rFonts w:ascii="Microsoft Sans Serif"/>
                <w:spacing w:val="-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recare</w:t>
            </w:r>
            <w:r w:rsidRPr="0011534A">
              <w:rPr>
                <w:rFonts w:ascii="Microsoft Sans Serif"/>
                <w:spacing w:val="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grave pregiudizio</w:t>
            </w:r>
            <w:r w:rsidRPr="0011534A">
              <w:rPr>
                <w:rFonts w:asci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/>
                <w:sz w:val="24"/>
                <w:lang w:val="it-IT"/>
              </w:rPr>
              <w:t>alla prognosi</w:t>
            </w:r>
          </w:p>
        </w:tc>
      </w:tr>
      <w:tr w:rsidR="0011534A" w:rsidTr="00F9045A">
        <w:trPr>
          <w:trHeight w:val="1530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jc w:val="left"/>
              <w:rPr>
                <w:rFonts w:ascii="Microsoft Sans Serif"/>
                <w:sz w:val="26"/>
                <w:lang w:val="it-IT"/>
              </w:rPr>
            </w:pPr>
          </w:p>
          <w:p w:rsidR="0011534A" w:rsidRPr="0011534A" w:rsidRDefault="0011534A" w:rsidP="00F9045A">
            <w:pPr>
              <w:pStyle w:val="TableParagraph"/>
              <w:spacing w:before="1"/>
              <w:jc w:val="left"/>
              <w:rPr>
                <w:rFonts w:ascii="Microsoft Sans Serif"/>
                <w:sz w:val="29"/>
                <w:lang w:val="it-IT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B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7A055E">
            <w:pPr>
              <w:pStyle w:val="TableParagraph"/>
              <w:spacing w:before="76" w:line="244" w:lineRule="auto"/>
              <w:ind w:left="59" w:right="223"/>
              <w:jc w:val="both"/>
              <w:rPr>
                <w:rFonts w:ascii="Microsoft Sans Serif" w:hAnsi="Microsoft Sans Serif"/>
                <w:sz w:val="24"/>
                <w:lang w:val="it-IT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entro 60 giorni per i casi clinici che presentano intenso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dolore, o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gravi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disfunzioni,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grave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disabilità ma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che non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manifestano la tendenza ad aggravarsi rapidamente al punto di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diventare emergenti</w:t>
            </w:r>
            <w:r w:rsidRPr="0011534A">
              <w:rPr>
                <w:rFonts w:ascii="Microsoft Sans Serif" w:hAns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né</w:t>
            </w:r>
            <w:r w:rsidRPr="0011534A">
              <w:rPr>
                <w:rFonts w:ascii="Microsoft Sans Serif" w:hAnsi="Microsoft Sans Serif"/>
                <w:spacing w:val="-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possono</w:t>
            </w:r>
            <w:r w:rsidRPr="0011534A">
              <w:rPr>
                <w:rFonts w:ascii="Microsoft Sans Serif" w:hAnsi="Microsoft Sans Serif"/>
                <w:spacing w:val="4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per l’attesa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ricevere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grave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pregiudizio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alla</w:t>
            </w:r>
            <w:r w:rsidRPr="0011534A">
              <w:rPr>
                <w:rFonts w:ascii="Microsoft Sans Serif" w:hAnsi="Microsoft Sans Serif"/>
                <w:spacing w:val="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prognosi</w:t>
            </w:r>
          </w:p>
        </w:tc>
      </w:tr>
      <w:tr w:rsidR="0011534A" w:rsidTr="00F9045A">
        <w:trPr>
          <w:trHeight w:val="1273"/>
        </w:trPr>
        <w:tc>
          <w:tcPr>
            <w:tcW w:w="238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jc w:val="left"/>
              <w:rPr>
                <w:rFonts w:ascii="Microsoft Sans Serif"/>
                <w:sz w:val="26"/>
                <w:lang w:val="it-IT"/>
              </w:rPr>
            </w:pPr>
          </w:p>
          <w:p w:rsidR="0011534A" w:rsidRDefault="0011534A" w:rsidP="00F9045A">
            <w:pPr>
              <w:pStyle w:val="TableParagraph"/>
              <w:spacing w:before="200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C</w:t>
            </w:r>
          </w:p>
        </w:tc>
        <w:tc>
          <w:tcPr>
            <w:tcW w:w="70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</w:tcPr>
          <w:p w:rsidR="0011534A" w:rsidRPr="0011534A" w:rsidRDefault="0011534A" w:rsidP="007A055E">
            <w:pPr>
              <w:pStyle w:val="TableParagraph"/>
              <w:spacing w:before="85" w:line="244" w:lineRule="auto"/>
              <w:ind w:left="59" w:right="87"/>
              <w:jc w:val="both"/>
              <w:rPr>
                <w:rFonts w:ascii="Microsoft Sans Serif" w:hAnsi="Microsoft Sans Serif"/>
                <w:sz w:val="24"/>
                <w:lang w:val="it-IT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entro 180 giorni per i casi clinici che presentano minimo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dolore, disfunzione o disabilità, e non manifestano tendenza ad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aggravarsi né possono per l’attesa ricevere grave pregiudizio alla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prognosi</w:t>
            </w:r>
          </w:p>
        </w:tc>
      </w:tr>
      <w:tr w:rsidR="0011534A" w:rsidTr="00F9045A">
        <w:trPr>
          <w:trHeight w:val="1036"/>
        </w:trPr>
        <w:tc>
          <w:tcPr>
            <w:tcW w:w="2384" w:type="dxa"/>
            <w:tcBorders>
              <w:top w:val="single" w:sz="4" w:space="0" w:color="000000"/>
            </w:tcBorders>
            <w:shd w:val="clear" w:color="auto" w:fill="FFFF00"/>
          </w:tcPr>
          <w:p w:rsidR="0011534A" w:rsidRPr="0011534A" w:rsidRDefault="0011534A" w:rsidP="00F9045A">
            <w:pPr>
              <w:pStyle w:val="TableParagraph"/>
              <w:spacing w:before="4"/>
              <w:jc w:val="left"/>
              <w:rPr>
                <w:rFonts w:ascii="Microsoft Sans Serif"/>
                <w:sz w:val="33"/>
                <w:lang w:val="it-IT"/>
              </w:rPr>
            </w:pPr>
          </w:p>
          <w:p w:rsidR="0011534A" w:rsidRDefault="0011534A" w:rsidP="00F9045A">
            <w:pPr>
              <w:pStyle w:val="TableParagraph"/>
              <w:ind w:left="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D</w:t>
            </w:r>
          </w:p>
        </w:tc>
        <w:tc>
          <w:tcPr>
            <w:tcW w:w="7098" w:type="dxa"/>
            <w:tcBorders>
              <w:top w:val="single" w:sz="4" w:space="0" w:color="000000"/>
            </w:tcBorders>
            <w:shd w:val="clear" w:color="auto" w:fill="FFFF00"/>
          </w:tcPr>
          <w:p w:rsidR="0011534A" w:rsidRDefault="0011534A" w:rsidP="007A055E">
            <w:pPr>
              <w:pStyle w:val="TableParagraph"/>
              <w:spacing w:before="105" w:line="244" w:lineRule="auto"/>
              <w:ind w:left="59" w:right="171"/>
              <w:jc w:val="both"/>
              <w:rPr>
                <w:rFonts w:ascii="Microsoft Sans Serif" w:hAnsi="Microsoft Sans Serif"/>
                <w:sz w:val="24"/>
              </w:rPr>
            </w:pPr>
            <w:r w:rsidRPr="0011534A">
              <w:rPr>
                <w:rFonts w:ascii="Microsoft Sans Serif" w:hAnsi="Microsoft Sans Serif"/>
                <w:sz w:val="24"/>
                <w:lang w:val="it-IT"/>
              </w:rPr>
              <w:t>Ricovero senza attesa massima definita per i casi clinici che non</w:t>
            </w:r>
            <w:r w:rsidRPr="0011534A">
              <w:rPr>
                <w:rFonts w:ascii="Microsoft Sans Serif" w:hAnsi="Microsoft Sans Serif"/>
                <w:spacing w:val="-6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causano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alcun dolore,</w:t>
            </w:r>
            <w:r w:rsidRPr="0011534A">
              <w:rPr>
                <w:rFonts w:ascii="Microsoft Sans Serif" w:hAnsi="Microsoft Sans Serif"/>
                <w:spacing w:val="-3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disfunzione o</w:t>
            </w:r>
            <w:r w:rsidRPr="0011534A">
              <w:rPr>
                <w:rFonts w:ascii="Microsoft Sans Serif" w:hAnsi="Microsoft Sans Serif"/>
                <w:spacing w:val="1"/>
                <w:sz w:val="24"/>
                <w:lang w:val="it-IT"/>
              </w:rPr>
              <w:t xml:space="preserve"> </w:t>
            </w:r>
            <w:r w:rsidRPr="0011534A">
              <w:rPr>
                <w:rFonts w:ascii="Microsoft Sans Serif" w:hAnsi="Microsoft Sans Serif"/>
                <w:sz w:val="24"/>
                <w:lang w:val="it-IT"/>
              </w:rPr>
              <w:t>disabilità.</w:t>
            </w:r>
            <w:r w:rsidRPr="0011534A">
              <w:rPr>
                <w:rFonts w:ascii="Microsoft Sans Serif" w:hAnsi="Microsoft Sans Serif"/>
                <w:spacing w:val="2"/>
                <w:sz w:val="24"/>
                <w:lang w:val="it-IT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Questi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casi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devono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comunque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essere</w:t>
            </w:r>
            <w:proofErr w:type="spellEnd"/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effettuati</w:t>
            </w:r>
            <w:proofErr w:type="spellEnd"/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almeno</w:t>
            </w:r>
            <w:proofErr w:type="spellEnd"/>
            <w:r>
              <w:rPr>
                <w:rFonts w:ascii="Microsoft Sans Serif" w:hAnsi="Microsoft Sans Serif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entro</w:t>
            </w:r>
            <w:proofErr w:type="spellEnd"/>
            <w:r>
              <w:rPr>
                <w:rFonts w:ascii="Microsoft Sans Serif" w:hAnsi="Microsoft Sans Serif"/>
                <w:spacing w:val="2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12</w:t>
            </w:r>
            <w:r>
              <w:rPr>
                <w:rFonts w:ascii="Microsoft Sans Serif" w:hAnsi="Microsoft Sans Serif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4"/>
              </w:rPr>
              <w:t>mesi</w:t>
            </w:r>
            <w:proofErr w:type="spellEnd"/>
            <w:r>
              <w:rPr>
                <w:rFonts w:ascii="Microsoft Sans Serif" w:hAnsi="Microsoft Sans Serif"/>
                <w:sz w:val="24"/>
              </w:rPr>
              <w:t>.</w:t>
            </w:r>
          </w:p>
        </w:tc>
      </w:tr>
    </w:tbl>
    <w:p w:rsidR="0011534A" w:rsidRDefault="0011534A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07"/>
        <w:gridCol w:w="1089"/>
        <w:gridCol w:w="1022"/>
        <w:gridCol w:w="1198"/>
        <w:gridCol w:w="1862"/>
      </w:tblGrid>
      <w:tr w:rsidR="00F80A0F" w:rsidRPr="00F80A0F" w:rsidTr="00F80A0F">
        <w:trPr>
          <w:trHeight w:val="1995"/>
        </w:trPr>
        <w:tc>
          <w:tcPr>
            <w:tcW w:w="2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DesPrestazione</w:t>
            </w:r>
            <w:proofErr w:type="spellEnd"/>
          </w:p>
        </w:tc>
        <w:tc>
          <w:tcPr>
            <w:tcW w:w="5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Priorità</w:t>
            </w:r>
          </w:p>
        </w:tc>
        <w:tc>
          <w:tcPr>
            <w:tcW w:w="5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Media</w:t>
            </w:r>
          </w:p>
        </w:tc>
        <w:tc>
          <w:tcPr>
            <w:tcW w:w="6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Mediana</w:t>
            </w:r>
          </w:p>
        </w:tc>
        <w:tc>
          <w:tcPr>
            <w:tcW w:w="96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B0F0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90° percentile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Angioplastica Coronarica (PTCA)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22,9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46,2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69,4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59,2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88,4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162,5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184,1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40,2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79,6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Biopsia percutanea del fegato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5,8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By</w:t>
            </w:r>
            <w:proofErr w:type="spellEnd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 xml:space="preserve"> pass </w:t>
            </w:r>
            <w:proofErr w:type="spellStart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aortocoronarico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19,2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54,2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58,3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86,7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88,6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78,2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Colecistectomia laparoscopica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40,8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67,6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113,6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76,4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45,5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Coronografia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45,3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83,7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76,1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104,5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153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50,5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100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Emorroidecomia</w:t>
            </w:r>
            <w:proofErr w:type="spellEnd"/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25,9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46,4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39,6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46,3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68,5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32,6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58,5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proofErr w:type="spellStart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Endoarteriectomia</w:t>
            </w:r>
            <w:proofErr w:type="spellEnd"/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 xml:space="preserve"> carotidea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46,9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62,8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110,2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54,1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98,8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di tumore maligno Mammella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32,8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50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217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217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217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per melanoma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33,3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49,5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47,5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49,8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per tumore maligno tiroide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44,1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46,1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50,7</w:t>
            </w:r>
          </w:p>
        </w:tc>
      </w:tr>
      <w:tr w:rsidR="00F80A0F" w:rsidRPr="00F80A0F" w:rsidTr="00F80A0F">
        <w:trPr>
          <w:trHeight w:val="780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23,9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18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49,2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tumore del Polmone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35,3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35,3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31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tumore maligno colon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18,7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13,7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25,9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 xml:space="preserve">Interventi chirurgici tumore maligno </w:t>
            </w: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lastRenderedPageBreak/>
              <w:t>dell'utero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lastRenderedPageBreak/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tumore maligno Prostata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55,8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32,8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50,2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33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48,6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67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32,8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chirurgici tumore maligno retto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34,3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8,9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33,1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24,2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33,2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Interventi protesi d'anca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152,9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128,5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265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109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57,5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288,9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37,8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27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71,9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118,1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113,5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237,3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57,7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142,4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Riparazione ernia inguinale I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25,9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15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53,2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B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37,9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67,6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C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52,4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30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76,6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D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56,7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26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118</w:t>
            </w:r>
          </w:p>
        </w:tc>
      </w:tr>
      <w:tr w:rsidR="00F80A0F" w:rsidRPr="00F80A0F" w:rsidTr="00F80A0F">
        <w:trPr>
          <w:trHeight w:val="499"/>
        </w:trPr>
        <w:tc>
          <w:tcPr>
            <w:tcW w:w="236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0A0F" w:rsidRPr="00F80A0F" w:rsidRDefault="00F80A0F" w:rsidP="00F80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Tutte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47,4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29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F80A0F" w:rsidRPr="00F80A0F" w:rsidRDefault="00F80A0F" w:rsidP="00F80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</w:pPr>
            <w:r w:rsidRPr="00F80A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it-IT"/>
              </w:rPr>
              <w:t>75</w:t>
            </w:r>
          </w:p>
        </w:tc>
      </w:tr>
    </w:tbl>
    <w:p w:rsidR="00F80A0F" w:rsidRDefault="00F80A0F"/>
    <w:p w:rsidR="004D73C8" w:rsidRDefault="004D73C8"/>
    <w:sectPr w:rsidR="004D73C8" w:rsidSect="00AB69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534A"/>
    <w:rsid w:val="0003616B"/>
    <w:rsid w:val="0010386F"/>
    <w:rsid w:val="0011534A"/>
    <w:rsid w:val="00140258"/>
    <w:rsid w:val="002C58B0"/>
    <w:rsid w:val="00387407"/>
    <w:rsid w:val="003E7271"/>
    <w:rsid w:val="003F2272"/>
    <w:rsid w:val="00407C3F"/>
    <w:rsid w:val="00417EC8"/>
    <w:rsid w:val="004D73C8"/>
    <w:rsid w:val="00680B3B"/>
    <w:rsid w:val="006F3C73"/>
    <w:rsid w:val="00705D5E"/>
    <w:rsid w:val="00706C6D"/>
    <w:rsid w:val="007A055E"/>
    <w:rsid w:val="007A7E5C"/>
    <w:rsid w:val="0081469B"/>
    <w:rsid w:val="008E5FB7"/>
    <w:rsid w:val="00900388"/>
    <w:rsid w:val="00975800"/>
    <w:rsid w:val="00A2417A"/>
    <w:rsid w:val="00A5554A"/>
    <w:rsid w:val="00AB69DF"/>
    <w:rsid w:val="00B72A4C"/>
    <w:rsid w:val="00C079E9"/>
    <w:rsid w:val="00C47456"/>
    <w:rsid w:val="00D10757"/>
    <w:rsid w:val="00D96965"/>
    <w:rsid w:val="00E358CE"/>
    <w:rsid w:val="00E422A7"/>
    <w:rsid w:val="00F1519C"/>
    <w:rsid w:val="00F80A0F"/>
    <w:rsid w:val="00F90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69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53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1534A"/>
    <w:pPr>
      <w:widowControl w:val="0"/>
      <w:autoSpaceDE w:val="0"/>
      <w:autoSpaceDN w:val="0"/>
      <w:spacing w:after="0" w:line="240" w:lineRule="auto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A.P.S.S. Trento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5314131</dc:creator>
  <cp:lastModifiedBy>5310937</cp:lastModifiedBy>
  <cp:revision>2</cp:revision>
  <dcterms:created xsi:type="dcterms:W3CDTF">2023-05-07T09:13:00Z</dcterms:created>
  <dcterms:modified xsi:type="dcterms:W3CDTF">2023-05-07T09:13:00Z</dcterms:modified>
</cp:coreProperties>
</file>